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4C2E" w:rsidRPr="0076297C" w:rsidRDefault="00074C2E" w:rsidP="00074C2E">
      <w:pPr>
        <w:spacing w:after="0" w:line="240" w:lineRule="auto"/>
        <w:ind w:right="282"/>
        <w:jc w:val="both"/>
        <w:rPr>
          <w:rFonts w:ascii="Comic Sans MS" w:eastAsia="Times New Roman" w:hAnsi="Comic Sans MS" w:cs="Arial"/>
          <w:i/>
          <w:color w:val="0070C0"/>
          <w:sz w:val="16"/>
          <w:szCs w:val="16"/>
          <w:lang w:eastAsia="fr-FR"/>
        </w:rPr>
      </w:pPr>
    </w:p>
    <w:p w:rsidR="00074C2E" w:rsidRPr="0076297C" w:rsidRDefault="00074C2E" w:rsidP="00074C2E">
      <w:pPr>
        <w:spacing w:after="0" w:line="240" w:lineRule="auto"/>
        <w:ind w:right="282"/>
        <w:jc w:val="both"/>
        <w:rPr>
          <w:rFonts w:ascii="Comic Sans MS" w:eastAsia="Times New Roman" w:hAnsi="Comic Sans MS" w:cs="Arial"/>
          <w:b/>
          <w:color w:val="000000"/>
          <w:sz w:val="16"/>
          <w:szCs w:val="16"/>
          <w:u w:val="single"/>
          <w:lang w:eastAsia="fr-FR"/>
        </w:rPr>
      </w:pPr>
      <w:r w:rsidRPr="0076297C">
        <w:rPr>
          <w:rFonts w:ascii="Comic Sans MS" w:eastAsia="Times New Roman" w:hAnsi="Comic Sans MS" w:cs="Arial"/>
          <w:b/>
          <w:color w:val="000000"/>
          <w:sz w:val="16"/>
          <w:szCs w:val="16"/>
          <w:u w:val="single"/>
          <w:lang w:eastAsia="fr-FR"/>
        </w:rPr>
        <w:t xml:space="preserve">Question N° : </w:t>
      </w:r>
      <w:r w:rsidRPr="0076297C">
        <w:rPr>
          <w:rFonts w:ascii="Comic Sans MS" w:eastAsia="Times New Roman" w:hAnsi="Comic Sans MS" w:cs="Arial"/>
          <w:bCs/>
          <w:color w:val="000000"/>
          <w:sz w:val="16"/>
          <w:szCs w:val="16"/>
          <w:u w:val="single"/>
          <w:lang w:eastAsia="fr-FR"/>
        </w:rPr>
        <w:t>« Gestion de la décompression avec différents ordinateurs » (4 points)</w:t>
      </w:r>
    </w:p>
    <w:p w:rsidR="007B46CF" w:rsidRPr="0076297C" w:rsidRDefault="007B46CF" w:rsidP="007B46CF">
      <w:pPr>
        <w:spacing w:after="0" w:line="240" w:lineRule="auto"/>
        <w:ind w:right="282"/>
        <w:rPr>
          <w:rFonts w:ascii="Comic Sans MS" w:eastAsia="Times New Roman" w:hAnsi="Comic Sans MS" w:cs="Arial"/>
          <w:bCs/>
          <w:color w:val="000000"/>
          <w:sz w:val="16"/>
          <w:szCs w:val="16"/>
          <w:lang w:eastAsia="fr-FR"/>
        </w:rPr>
      </w:pPr>
    </w:p>
    <w:p w:rsidR="007B46CF" w:rsidRPr="0076297C" w:rsidRDefault="007B46CF" w:rsidP="007B46CF">
      <w:pPr>
        <w:spacing w:after="0" w:line="240" w:lineRule="auto"/>
        <w:ind w:right="282"/>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Deux plongeurs de votre club se préparent à plonger dans la zone des 50 m. Ils utilisent des ordinateurs qui ne fonctionnent pas selon le même algorithme, ce qui peut engendrer quelques différences. Par exemple, les deux instruments ne donnent pas le même type d’information pour la planification de la plongée.</w:t>
      </w:r>
    </w:p>
    <w:p w:rsidR="007B46CF" w:rsidRPr="0076297C" w:rsidRDefault="007B46CF" w:rsidP="007B46CF">
      <w:p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 le premier permet de déterminer le temps et la profondeur des paliers en imposant le temps et la profondeur de la plongée comme on le souhaite.</w:t>
      </w:r>
    </w:p>
    <w:p w:rsidR="007B46CF" w:rsidRPr="0076297C" w:rsidRDefault="007B46CF" w:rsidP="007B46CF">
      <w:p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 le deuxième, ne permet de ne visualiser que la courbe de plongée avant paliers.</w:t>
      </w:r>
    </w:p>
    <w:p w:rsidR="007B46CF" w:rsidRPr="0076297C" w:rsidRDefault="007B46CF" w:rsidP="007B46CF">
      <w:pPr>
        <w:spacing w:after="0" w:line="240" w:lineRule="auto"/>
        <w:ind w:right="282"/>
        <w:jc w:val="both"/>
        <w:rPr>
          <w:rFonts w:ascii="Comic Sans MS" w:eastAsia="Times New Roman" w:hAnsi="Comic Sans MS" w:cs="Arial"/>
          <w:bCs/>
          <w:color w:val="000000"/>
          <w:sz w:val="16"/>
          <w:szCs w:val="16"/>
          <w:lang w:eastAsia="fr-FR"/>
        </w:rPr>
      </w:pPr>
    </w:p>
    <w:p w:rsidR="007B46CF" w:rsidRPr="0076297C" w:rsidRDefault="007B46CF" w:rsidP="00A16749">
      <w:pPr>
        <w:numPr>
          <w:ilvl w:val="0"/>
          <w:numId w:val="7"/>
        </w:num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Comment les deux plongeurs peuvent-ils s’organiser pour gérer cette différence d’informations disponibles concernant ce point précis de la planification de leur plongée ? (2pts)</w:t>
      </w:r>
    </w:p>
    <w:p w:rsidR="007B46CF" w:rsidRPr="0076297C" w:rsidRDefault="007B46CF" w:rsidP="007B46CF">
      <w:pPr>
        <w:spacing w:after="0" w:line="240" w:lineRule="auto"/>
        <w:ind w:right="282"/>
        <w:jc w:val="both"/>
        <w:rPr>
          <w:rFonts w:ascii="Comic Sans MS" w:eastAsia="Times New Roman" w:hAnsi="Comic Sans MS" w:cs="Arial"/>
          <w:bCs/>
          <w:color w:val="000000"/>
          <w:sz w:val="16"/>
          <w:szCs w:val="16"/>
          <w:lang w:eastAsia="fr-FR"/>
        </w:rPr>
      </w:pPr>
    </w:p>
    <w:p w:rsidR="007B46CF" w:rsidRPr="0076297C" w:rsidRDefault="007B46CF" w:rsidP="007B46CF">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 Le deuxième ordinateur permet de visualiser une courbe de sécurité pour une profondeur donnée, on peut donc vérifier avec le premier ordinateur si les informations convergent. (0.5 pts)</w:t>
      </w:r>
    </w:p>
    <w:p w:rsidR="007B46CF" w:rsidRPr="0076297C" w:rsidRDefault="007B46CF" w:rsidP="007B46CF">
      <w:pPr>
        <w:spacing w:after="0" w:line="240" w:lineRule="auto"/>
        <w:ind w:right="282"/>
        <w:jc w:val="both"/>
        <w:rPr>
          <w:rFonts w:ascii="Comic Sans MS" w:eastAsia="Times New Roman" w:hAnsi="Comic Sans MS" w:cs="Arial"/>
          <w:bCs/>
          <w:i/>
          <w:color w:val="0070C0"/>
          <w:sz w:val="16"/>
          <w:szCs w:val="16"/>
          <w:lang w:eastAsia="fr-FR"/>
        </w:rPr>
      </w:pPr>
    </w:p>
    <w:p w:rsidR="007B46CF" w:rsidRPr="0076297C" w:rsidRDefault="007B46CF" w:rsidP="007B46CF">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 Si les informations ne convergent pas, on peut vérifier si un conservatisme particulier n’est pas intégré par l’ordinateur le plus limitant. (0.5 pts)</w:t>
      </w:r>
    </w:p>
    <w:p w:rsidR="007B46CF" w:rsidRPr="0076297C" w:rsidRDefault="007B46CF" w:rsidP="007B46CF">
      <w:pPr>
        <w:spacing w:after="0" w:line="240" w:lineRule="auto"/>
        <w:ind w:right="282"/>
        <w:jc w:val="both"/>
        <w:rPr>
          <w:rFonts w:ascii="Comic Sans MS" w:eastAsia="Times New Roman" w:hAnsi="Comic Sans MS" w:cs="Arial"/>
          <w:bCs/>
          <w:i/>
          <w:color w:val="0070C0"/>
          <w:sz w:val="16"/>
          <w:szCs w:val="16"/>
          <w:lang w:eastAsia="fr-FR"/>
        </w:rPr>
      </w:pPr>
    </w:p>
    <w:p w:rsidR="007B46CF" w:rsidRPr="0076297C" w:rsidRDefault="007B46CF" w:rsidP="007B46CF">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 Dans tous les cas, pour éviter tous les doutes, on peut déterminer plusieurs critères qui acteront la fin de la plongée :</w:t>
      </w:r>
    </w:p>
    <w:p w:rsidR="007B46CF" w:rsidRPr="0076297C" w:rsidRDefault="007B46CF" w:rsidP="007B46CF">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 Une pression de bouteille assez importante</w:t>
      </w:r>
    </w:p>
    <w:p w:rsidR="007B46CF" w:rsidRPr="0076297C" w:rsidRDefault="007B46CF" w:rsidP="007B46CF">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 une DTR spécifique</w:t>
      </w:r>
    </w:p>
    <w:p w:rsidR="007B46CF" w:rsidRPr="0076297C" w:rsidRDefault="007B46CF" w:rsidP="007B46CF">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 une durée de palier maximale</w:t>
      </w:r>
    </w:p>
    <w:p w:rsidR="007B46CF" w:rsidRPr="0076297C" w:rsidRDefault="007B46CF" w:rsidP="007B46CF">
      <w:pPr>
        <w:spacing w:after="0" w:line="240" w:lineRule="auto"/>
        <w:ind w:right="282"/>
        <w:jc w:val="both"/>
        <w:rPr>
          <w:rFonts w:ascii="Comic Sans MS" w:eastAsia="Times New Roman" w:hAnsi="Comic Sans MS" w:cs="Arial"/>
          <w:bCs/>
          <w:i/>
          <w:color w:val="0070C0"/>
          <w:sz w:val="16"/>
          <w:szCs w:val="16"/>
          <w:lang w:eastAsia="fr-FR"/>
        </w:rPr>
      </w:pPr>
    </w:p>
    <w:p w:rsidR="007B46CF" w:rsidRPr="0076297C" w:rsidRDefault="007B46CF" w:rsidP="007B46CF">
      <w:pPr>
        <w:spacing w:after="0" w:line="240" w:lineRule="auto"/>
        <w:ind w:right="282"/>
        <w:jc w:val="both"/>
        <w:rPr>
          <w:rFonts w:ascii="Comic Sans MS" w:eastAsia="Times New Roman" w:hAnsi="Comic Sans MS" w:cs="Arial"/>
          <w:bCs/>
          <w:i/>
          <w:color w:val="0070C0"/>
          <w:sz w:val="16"/>
          <w:szCs w:val="16"/>
          <w:lang w:eastAsia="fr-FR"/>
        </w:rPr>
      </w:pPr>
      <w:r w:rsidRPr="0076297C">
        <w:rPr>
          <w:rFonts w:ascii="Comic Sans MS" w:eastAsia="Times New Roman" w:hAnsi="Comic Sans MS" w:cs="Arial"/>
          <w:bCs/>
          <w:i/>
          <w:color w:val="0070C0"/>
          <w:sz w:val="16"/>
          <w:szCs w:val="16"/>
          <w:lang w:eastAsia="fr-FR"/>
        </w:rPr>
        <w:t>Ainsi le premier critère atteint sera considéré comme limitant, et imposera la fin de la plongée, ce qui permettra de planifier le déroulement de plongée en sécurité malgré la différence d’informations disponibles. (1pt)</w:t>
      </w:r>
    </w:p>
    <w:p w:rsidR="007B46CF" w:rsidRPr="0076297C" w:rsidRDefault="007B46CF" w:rsidP="007B46CF">
      <w:pPr>
        <w:spacing w:after="0" w:line="240" w:lineRule="auto"/>
        <w:ind w:right="282"/>
        <w:jc w:val="both"/>
        <w:rPr>
          <w:rFonts w:ascii="Comic Sans MS" w:eastAsia="Times New Roman" w:hAnsi="Comic Sans MS" w:cs="Arial"/>
          <w:bCs/>
          <w:color w:val="000000"/>
          <w:sz w:val="16"/>
          <w:szCs w:val="16"/>
          <w:lang w:eastAsia="fr-FR"/>
        </w:rPr>
      </w:pPr>
    </w:p>
    <w:p w:rsidR="007B46CF" w:rsidRDefault="007B46CF" w:rsidP="00A16749">
      <w:pPr>
        <w:numPr>
          <w:ilvl w:val="0"/>
          <w:numId w:val="7"/>
        </w:numPr>
        <w:spacing w:after="0" w:line="240" w:lineRule="auto"/>
        <w:ind w:right="282"/>
        <w:jc w:val="both"/>
        <w:rPr>
          <w:rFonts w:ascii="Comic Sans MS" w:eastAsia="Times New Roman" w:hAnsi="Comic Sans MS" w:cs="Arial"/>
          <w:bCs/>
          <w:color w:val="000000"/>
          <w:sz w:val="16"/>
          <w:szCs w:val="16"/>
          <w:lang w:eastAsia="fr-FR"/>
        </w:rPr>
      </w:pPr>
      <w:r w:rsidRPr="0076297C">
        <w:rPr>
          <w:rFonts w:ascii="Comic Sans MS" w:eastAsia="Times New Roman" w:hAnsi="Comic Sans MS" w:cs="Arial"/>
          <w:bCs/>
          <w:color w:val="000000"/>
          <w:sz w:val="16"/>
          <w:szCs w:val="16"/>
          <w:lang w:eastAsia="fr-FR"/>
        </w:rPr>
        <w:t>En tant que directeur de plongée quelles consignes supplémentaires donneriez-vous à ces deux plongeurs pour qu’ils puissent harmoniser au mieux leur décompression dans le cas de cette plongée dans la zone des 50 m. (2 pts)</w:t>
      </w:r>
    </w:p>
    <w:p w:rsidR="00C943EA" w:rsidRPr="0076297C" w:rsidRDefault="00C943EA" w:rsidP="00C943EA">
      <w:pPr>
        <w:spacing w:after="0" w:line="240" w:lineRule="auto"/>
        <w:ind w:right="282"/>
        <w:jc w:val="both"/>
        <w:rPr>
          <w:rFonts w:ascii="Comic Sans MS" w:eastAsia="Times New Roman" w:hAnsi="Comic Sans MS" w:cs="Arial"/>
          <w:bCs/>
          <w:color w:val="000000"/>
          <w:sz w:val="16"/>
          <w:szCs w:val="16"/>
          <w:lang w:eastAsia="fr-FR"/>
        </w:rPr>
      </w:pPr>
    </w:p>
    <w:p w:rsidR="007B46CF" w:rsidRPr="0076297C" w:rsidRDefault="007B46CF" w:rsidP="007B46CF">
      <w:pPr>
        <w:spacing w:after="0" w:line="240" w:lineRule="auto"/>
        <w:ind w:right="282"/>
        <w:jc w:val="both"/>
        <w:rPr>
          <w:rFonts w:ascii="Comic Sans MS" w:eastAsia="Times New Roman" w:hAnsi="Comic Sans MS" w:cs="Arial"/>
          <w:i/>
          <w:color w:val="0070C0"/>
          <w:sz w:val="16"/>
          <w:szCs w:val="16"/>
          <w:lang w:eastAsia="fr-FR"/>
        </w:rPr>
      </w:pPr>
      <w:r w:rsidRPr="0076297C">
        <w:rPr>
          <w:rFonts w:ascii="Comic Sans MS" w:eastAsia="Times New Roman" w:hAnsi="Comic Sans MS" w:cs="Arial"/>
          <w:i/>
          <w:color w:val="0070C0"/>
          <w:sz w:val="16"/>
          <w:szCs w:val="16"/>
          <w:lang w:eastAsia="fr-FR"/>
        </w:rPr>
        <w:t xml:space="preserve">Considérant la zone de plongée, il est fort probable que les deux plongeurs aient à effectuer des paliers obligatoires. </w:t>
      </w:r>
    </w:p>
    <w:p w:rsidR="007B46CF" w:rsidRPr="0076297C" w:rsidRDefault="007B46CF" w:rsidP="007B46CF">
      <w:pPr>
        <w:spacing w:after="0" w:line="240" w:lineRule="auto"/>
        <w:ind w:right="282"/>
        <w:jc w:val="both"/>
        <w:rPr>
          <w:rFonts w:ascii="Comic Sans MS" w:eastAsia="Times New Roman" w:hAnsi="Comic Sans MS" w:cs="Arial"/>
          <w:i/>
          <w:color w:val="0070C0"/>
          <w:sz w:val="16"/>
          <w:szCs w:val="16"/>
          <w:lang w:eastAsia="fr-FR"/>
        </w:rPr>
      </w:pPr>
      <w:r w:rsidRPr="0076297C">
        <w:rPr>
          <w:rFonts w:ascii="Comic Sans MS" w:eastAsia="Times New Roman" w:hAnsi="Comic Sans MS" w:cs="Arial"/>
          <w:i/>
          <w:color w:val="0070C0"/>
          <w:sz w:val="16"/>
          <w:szCs w:val="16"/>
          <w:lang w:eastAsia="fr-FR"/>
        </w:rPr>
        <w:t>- Avant de parler de décompression il va être important de rappeler de bien respecter le temps fond prédéfini. Des algorithmes différents peuvent amener des divergences importantes lors de plongées relativement profondes. Il faut donc éviter de se retrouver avec une décompression relativement éloignée du plan prévu initialement. (0.5 pt)</w:t>
      </w:r>
    </w:p>
    <w:p w:rsidR="007B46CF" w:rsidRPr="0076297C" w:rsidRDefault="007B46CF" w:rsidP="007B46CF">
      <w:pPr>
        <w:spacing w:after="0" w:line="240" w:lineRule="auto"/>
        <w:ind w:right="282"/>
        <w:jc w:val="both"/>
        <w:rPr>
          <w:rFonts w:ascii="Comic Sans MS" w:eastAsia="Times New Roman" w:hAnsi="Comic Sans MS" w:cs="Arial"/>
          <w:i/>
          <w:color w:val="0070C0"/>
          <w:sz w:val="16"/>
          <w:szCs w:val="16"/>
          <w:lang w:eastAsia="fr-FR"/>
        </w:rPr>
      </w:pPr>
      <w:r w:rsidRPr="0076297C">
        <w:rPr>
          <w:rFonts w:ascii="Comic Sans MS" w:eastAsia="Times New Roman" w:hAnsi="Comic Sans MS" w:cs="Arial"/>
          <w:i/>
          <w:color w:val="0070C0"/>
          <w:sz w:val="16"/>
          <w:szCs w:val="16"/>
          <w:lang w:eastAsia="fr-FR"/>
        </w:rPr>
        <w:t>- Concernant la phase de remontée, les ordinateurs actuels adoptent des vitesses de remontée similaires (de l’ordre de 10 à 12 m/min). L’unique consigne sera de respecter scrupuleusement cette vitesse pour coller au plus proche de la planification d’une part, et cela va permettre de conserver l’unité de la palanquée d’autre part. (0.5 pt)</w:t>
      </w:r>
    </w:p>
    <w:p w:rsidR="00C943EA" w:rsidRPr="00C943EA" w:rsidRDefault="007B46CF" w:rsidP="00A16749">
      <w:pPr>
        <w:spacing w:after="0" w:line="240" w:lineRule="auto"/>
        <w:ind w:right="282"/>
        <w:jc w:val="both"/>
        <w:rPr>
          <w:rFonts w:ascii="Comic Sans MS" w:eastAsia="Times New Roman" w:hAnsi="Comic Sans MS" w:cs="Arial"/>
          <w:i/>
          <w:color w:val="0070C0"/>
          <w:sz w:val="16"/>
          <w:szCs w:val="16"/>
          <w:lang w:eastAsia="fr-FR"/>
        </w:rPr>
      </w:pPr>
      <w:r w:rsidRPr="0076297C">
        <w:rPr>
          <w:rFonts w:ascii="Comic Sans MS" w:eastAsia="Times New Roman" w:hAnsi="Comic Sans MS" w:cs="Arial"/>
          <w:i/>
          <w:color w:val="0070C0"/>
          <w:sz w:val="16"/>
          <w:szCs w:val="16"/>
          <w:lang w:eastAsia="fr-FR"/>
        </w:rPr>
        <w:t xml:space="preserve">- Dans la zone des paliers il faut se caler sur le plongeur ayant les paliers les plus profonds pour commencer, en se rapprochant du palier de 3 m, incontournable pour les ordinateurs de type </w:t>
      </w:r>
      <w:proofErr w:type="spellStart"/>
      <w:r w:rsidRPr="0076297C">
        <w:rPr>
          <w:rFonts w:ascii="Comic Sans MS" w:eastAsia="Times New Roman" w:hAnsi="Comic Sans MS" w:cs="Arial"/>
          <w:i/>
          <w:color w:val="0070C0"/>
          <w:sz w:val="16"/>
          <w:szCs w:val="16"/>
          <w:lang w:eastAsia="fr-FR"/>
        </w:rPr>
        <w:t>Bulhmann</w:t>
      </w:r>
      <w:proofErr w:type="spellEnd"/>
      <w:r w:rsidRPr="0076297C">
        <w:rPr>
          <w:rFonts w:ascii="Comic Sans MS" w:eastAsia="Times New Roman" w:hAnsi="Comic Sans MS" w:cs="Arial"/>
          <w:i/>
          <w:strike/>
          <w:color w:val="0070C0"/>
          <w:sz w:val="16"/>
          <w:szCs w:val="16"/>
          <w:lang w:eastAsia="fr-FR"/>
        </w:rPr>
        <w:t>.</w:t>
      </w:r>
      <w:r w:rsidRPr="0076297C">
        <w:rPr>
          <w:rFonts w:ascii="Comic Sans MS" w:eastAsia="Times New Roman" w:hAnsi="Comic Sans MS" w:cs="Arial"/>
          <w:i/>
          <w:color w:val="0070C0"/>
          <w:sz w:val="16"/>
          <w:szCs w:val="16"/>
          <w:lang w:eastAsia="fr-FR"/>
        </w:rPr>
        <w:t xml:space="preserve"> Si les plongeurs respectent les indications de leur machine respective, les différences seront très faibles même si les algorithmes ne sont pas les mêmes. Par contre si les niveaux d’immersion durant le palier, ne sont pas bien respectés (notamment pour le RGBM) alors les temps de paliers risquent de s’allonger de façon conséquente. (1pt)</w:t>
      </w:r>
    </w:p>
    <w:sectPr w:rsidR="00C943EA" w:rsidRPr="00C943EA" w:rsidSect="00085295">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3A88" w:rsidRDefault="00313A88" w:rsidP="00513A29">
      <w:pPr>
        <w:spacing w:after="0" w:line="240" w:lineRule="auto"/>
      </w:pPr>
      <w:r>
        <w:separator/>
      </w:r>
    </w:p>
  </w:endnote>
  <w:endnote w:type="continuationSeparator" w:id="0">
    <w:p w:rsidR="00313A88" w:rsidRDefault="00313A88" w:rsidP="00513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5295" w:rsidRDefault="00513A29" w:rsidP="00085295">
    <w:pPr>
      <w:pStyle w:val="Pieddepage"/>
      <w:framePr w:wrap="around" w:vAnchor="text" w:hAnchor="margin" w:xAlign="center" w:y="1"/>
      <w:rPr>
        <w:rStyle w:val="Numrodepage"/>
      </w:rPr>
    </w:pPr>
    <w:r>
      <w:rPr>
        <w:rStyle w:val="Numrodepage"/>
      </w:rPr>
      <w:fldChar w:fldCharType="begin"/>
    </w:r>
    <w:r w:rsidR="00074C2E">
      <w:rPr>
        <w:rStyle w:val="Numrodepage"/>
      </w:rPr>
      <w:instrText xml:space="preserve">PAGE  </w:instrText>
    </w:r>
    <w:r>
      <w:rPr>
        <w:rStyle w:val="Numrodepage"/>
      </w:rPr>
      <w:fldChar w:fldCharType="end"/>
    </w:r>
  </w:p>
  <w:p w:rsidR="00085295" w:rsidRDefault="000852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5295" w:rsidRDefault="00513A29" w:rsidP="00085295">
    <w:pPr>
      <w:pStyle w:val="Pieddepage"/>
      <w:framePr w:wrap="around" w:vAnchor="text" w:hAnchor="margin" w:xAlign="center" w:y="1"/>
      <w:rPr>
        <w:rStyle w:val="Numrodepage"/>
      </w:rPr>
    </w:pPr>
    <w:r>
      <w:rPr>
        <w:rStyle w:val="Numrodepage"/>
      </w:rPr>
      <w:fldChar w:fldCharType="begin"/>
    </w:r>
    <w:r w:rsidR="00074C2E">
      <w:rPr>
        <w:rStyle w:val="Numrodepage"/>
      </w:rPr>
      <w:instrText xml:space="preserve">PAGE  </w:instrText>
    </w:r>
    <w:r>
      <w:rPr>
        <w:rStyle w:val="Numrodepage"/>
      </w:rPr>
      <w:fldChar w:fldCharType="separate"/>
    </w:r>
    <w:r w:rsidR="00F17249">
      <w:rPr>
        <w:rStyle w:val="Numrodepage"/>
        <w:noProof/>
      </w:rPr>
      <w:t>1</w:t>
    </w:r>
    <w:r>
      <w:rPr>
        <w:rStyle w:val="Numrodepage"/>
      </w:rPr>
      <w:fldChar w:fldCharType="end"/>
    </w:r>
  </w:p>
  <w:p w:rsidR="00085295" w:rsidRDefault="000852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3A88" w:rsidRDefault="00313A88" w:rsidP="00513A29">
      <w:pPr>
        <w:spacing w:after="0" w:line="240" w:lineRule="auto"/>
      </w:pPr>
      <w:r>
        <w:separator/>
      </w:r>
    </w:p>
  </w:footnote>
  <w:footnote w:type="continuationSeparator" w:id="0">
    <w:p w:rsidR="00313A88" w:rsidRDefault="00313A88" w:rsidP="00513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085295" w:rsidRPr="00CA1B79" w:rsidTr="00085295">
      <w:tc>
        <w:tcPr>
          <w:tcW w:w="4219" w:type="dxa"/>
          <w:shd w:val="clear" w:color="auto" w:fill="auto"/>
        </w:tcPr>
        <w:p w:rsidR="00085295" w:rsidRPr="00CA1B79" w:rsidRDefault="001904C0" w:rsidP="00085295">
          <w:pPr>
            <w:pStyle w:val="En-tte"/>
          </w:pPr>
          <w:r>
            <w:rPr>
              <w:noProof/>
              <w:lang w:eastAsia="fr-FR"/>
            </w:rPr>
            <w:drawing>
              <wp:inline distT="0" distB="0" distL="0" distR="0">
                <wp:extent cx="838200" cy="838200"/>
                <wp:effectExtent l="0" t="0" r="0" b="0"/>
                <wp:docPr id="1"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echnique FFESSM - Logo quadri"/>
                        <pic:cNvPicPr>
                          <a:picLocks noChangeAspect="1" noChangeArrowheads="1"/>
                        </pic:cNvPicPr>
                      </pic:nvPicPr>
                      <pic:blipFill>
                        <a:blip r:embed="rId1"/>
                        <a:srcRect/>
                        <a:stretch>
                          <a:fillRect/>
                        </a:stretch>
                      </pic:blipFill>
                      <pic:spPr bwMode="auto">
                        <a:xfrm>
                          <a:off x="0" y="0"/>
                          <a:ext cx="838200" cy="838200"/>
                        </a:xfrm>
                        <a:prstGeom prst="rect">
                          <a:avLst/>
                        </a:prstGeom>
                        <a:noFill/>
                        <a:ln w="9525">
                          <a:noFill/>
                          <a:miter lim="800000"/>
                          <a:headEnd/>
                          <a:tailEnd/>
                        </a:ln>
                      </pic:spPr>
                    </pic:pic>
                  </a:graphicData>
                </a:graphic>
              </wp:inline>
            </w:drawing>
          </w:r>
        </w:p>
      </w:tc>
      <w:tc>
        <w:tcPr>
          <w:tcW w:w="5045" w:type="dxa"/>
          <w:shd w:val="clear" w:color="auto" w:fill="auto"/>
        </w:tcPr>
        <w:p w:rsidR="00085295" w:rsidRPr="00CA1B79" w:rsidRDefault="00085295" w:rsidP="00085295">
          <w:pPr>
            <w:pStyle w:val="En-tte"/>
            <w:ind w:left="176" w:hanging="176"/>
            <w:jc w:val="center"/>
            <w:rPr>
              <w:rFonts w:ascii="Comic Sans MS" w:hAnsi="Comic Sans MS"/>
              <w:b/>
              <w:sz w:val="18"/>
              <w:szCs w:val="28"/>
            </w:rPr>
          </w:pPr>
        </w:p>
        <w:p w:rsidR="00085295" w:rsidRPr="00D35E2B" w:rsidRDefault="00074C2E" w:rsidP="00D35E2B">
          <w:pPr>
            <w:pStyle w:val="En-tte"/>
            <w:ind w:left="176" w:hanging="176"/>
            <w:jc w:val="center"/>
            <w:rPr>
              <w:rFonts w:ascii="Comic Sans MS" w:hAnsi="Comic Sans MS"/>
              <w:b/>
              <w:sz w:val="28"/>
              <w:szCs w:val="28"/>
            </w:rPr>
          </w:pPr>
          <w:r w:rsidRPr="00CA1B79">
            <w:rPr>
              <w:rFonts w:ascii="Comic Sans MS" w:hAnsi="Comic Sans MS"/>
              <w:b/>
              <w:sz w:val="28"/>
              <w:szCs w:val="28"/>
            </w:rPr>
            <w:t>Monitorat fédéral 2</w:t>
          </w:r>
          <w:r w:rsidRPr="00CA1B79">
            <w:rPr>
              <w:rFonts w:ascii="Comic Sans MS" w:hAnsi="Comic Sans MS"/>
              <w:b/>
              <w:sz w:val="28"/>
              <w:szCs w:val="28"/>
              <w:vertAlign w:val="superscript"/>
            </w:rPr>
            <w:t>eme</w:t>
          </w:r>
          <w:r w:rsidRPr="00CA1B79">
            <w:rPr>
              <w:rFonts w:ascii="Comic Sans MS" w:hAnsi="Comic Sans MS"/>
              <w:b/>
              <w:sz w:val="28"/>
              <w:szCs w:val="28"/>
            </w:rPr>
            <w:t xml:space="preserve"> degré</w:t>
          </w:r>
        </w:p>
      </w:tc>
    </w:tr>
  </w:tbl>
  <w:p w:rsidR="00085295" w:rsidRDefault="00085295" w:rsidP="000852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75F12"/>
    <w:multiLevelType w:val="hybridMultilevel"/>
    <w:tmpl w:val="6EECC5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5E66FF"/>
    <w:multiLevelType w:val="hybridMultilevel"/>
    <w:tmpl w:val="D032C79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275048"/>
    <w:multiLevelType w:val="hybridMultilevel"/>
    <w:tmpl w:val="C50009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C10E6D"/>
    <w:multiLevelType w:val="hybridMultilevel"/>
    <w:tmpl w:val="8AFC6282"/>
    <w:lvl w:ilvl="0" w:tplc="9006A6C0">
      <w:numFmt w:val="bullet"/>
      <w:lvlText w:val="-"/>
      <w:lvlJc w:val="left"/>
      <w:pPr>
        <w:ind w:left="644" w:hanging="360"/>
      </w:pPr>
      <w:rPr>
        <w:rFonts w:ascii="Comic Sans MS" w:eastAsia="Times New Roman" w:hAnsi="Comic Sans M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41081A14"/>
    <w:multiLevelType w:val="hybridMultilevel"/>
    <w:tmpl w:val="D032C79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6280263"/>
    <w:multiLevelType w:val="hybridMultilevel"/>
    <w:tmpl w:val="6EECC50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6A83FF0"/>
    <w:multiLevelType w:val="hybridMultilevel"/>
    <w:tmpl w:val="966428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CC3EA3"/>
    <w:multiLevelType w:val="hybridMultilevel"/>
    <w:tmpl w:val="142E8B2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0830E1"/>
    <w:multiLevelType w:val="hybridMultilevel"/>
    <w:tmpl w:val="142E8B2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25146052">
    <w:abstractNumId w:val="3"/>
  </w:num>
  <w:num w:numId="2" w16cid:durableId="1127046190">
    <w:abstractNumId w:val="6"/>
  </w:num>
  <w:num w:numId="3" w16cid:durableId="227813297">
    <w:abstractNumId w:val="2"/>
  </w:num>
  <w:num w:numId="4" w16cid:durableId="1895120023">
    <w:abstractNumId w:val="8"/>
  </w:num>
  <w:num w:numId="5" w16cid:durableId="2136558922">
    <w:abstractNumId w:val="4"/>
  </w:num>
  <w:num w:numId="6" w16cid:durableId="2138258041">
    <w:abstractNumId w:val="5"/>
  </w:num>
  <w:num w:numId="7" w16cid:durableId="145124179">
    <w:abstractNumId w:val="0"/>
  </w:num>
  <w:num w:numId="8" w16cid:durableId="739060062">
    <w:abstractNumId w:val="7"/>
  </w:num>
  <w:num w:numId="9" w16cid:durableId="590742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C2E"/>
    <w:rsid w:val="00006A77"/>
    <w:rsid w:val="00074C2E"/>
    <w:rsid w:val="00085295"/>
    <w:rsid w:val="000D4243"/>
    <w:rsid w:val="000F0CE9"/>
    <w:rsid w:val="000F5591"/>
    <w:rsid w:val="001274DA"/>
    <w:rsid w:val="00172626"/>
    <w:rsid w:val="001870B1"/>
    <w:rsid w:val="001904C0"/>
    <w:rsid w:val="001D3AA2"/>
    <w:rsid w:val="001E0AE0"/>
    <w:rsid w:val="002C2827"/>
    <w:rsid w:val="00313A88"/>
    <w:rsid w:val="00474860"/>
    <w:rsid w:val="00507DE9"/>
    <w:rsid w:val="00513A29"/>
    <w:rsid w:val="0052183E"/>
    <w:rsid w:val="00545E6C"/>
    <w:rsid w:val="005D6997"/>
    <w:rsid w:val="005F11E3"/>
    <w:rsid w:val="006A20DA"/>
    <w:rsid w:val="006C1A56"/>
    <w:rsid w:val="0076297C"/>
    <w:rsid w:val="007850BF"/>
    <w:rsid w:val="007A6D22"/>
    <w:rsid w:val="007B46CF"/>
    <w:rsid w:val="008D110D"/>
    <w:rsid w:val="008E015C"/>
    <w:rsid w:val="00906504"/>
    <w:rsid w:val="00926971"/>
    <w:rsid w:val="00A16749"/>
    <w:rsid w:val="00A70CAF"/>
    <w:rsid w:val="00A7411B"/>
    <w:rsid w:val="00AA0F2F"/>
    <w:rsid w:val="00BC0D6B"/>
    <w:rsid w:val="00C13D71"/>
    <w:rsid w:val="00C36D9A"/>
    <w:rsid w:val="00C943EA"/>
    <w:rsid w:val="00CA1B79"/>
    <w:rsid w:val="00D35E2B"/>
    <w:rsid w:val="00D92D17"/>
    <w:rsid w:val="00DC395D"/>
    <w:rsid w:val="00E006A4"/>
    <w:rsid w:val="00E040D7"/>
    <w:rsid w:val="00E64BAF"/>
    <w:rsid w:val="00E86459"/>
    <w:rsid w:val="00F03397"/>
    <w:rsid w:val="00F17249"/>
    <w:rsid w:val="00F25E3A"/>
    <w:rsid w:val="00F80EB4"/>
    <w:rsid w:val="00F869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2E9FF"/>
  <w15:docId w15:val="{5F57EE70-848C-5A40-8F6C-5781D73E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29"/>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74C2E"/>
    <w:pPr>
      <w:tabs>
        <w:tab w:val="center" w:pos="4536"/>
        <w:tab w:val="right" w:pos="9072"/>
      </w:tabs>
      <w:spacing w:after="0" w:line="240" w:lineRule="auto"/>
    </w:pPr>
  </w:style>
  <w:style w:type="character" w:customStyle="1" w:styleId="En-tteCar">
    <w:name w:val="En-tête Car"/>
    <w:basedOn w:val="Policepardfaut"/>
    <w:link w:val="En-tte"/>
    <w:uiPriority w:val="99"/>
    <w:rsid w:val="00074C2E"/>
  </w:style>
  <w:style w:type="paragraph" w:styleId="Pieddepage">
    <w:name w:val="footer"/>
    <w:basedOn w:val="Normal"/>
    <w:link w:val="PieddepageCar"/>
    <w:uiPriority w:val="99"/>
    <w:unhideWhenUsed/>
    <w:rsid w:val="00074C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4C2E"/>
  </w:style>
  <w:style w:type="character" w:styleId="Numrodepage">
    <w:name w:val="page number"/>
    <w:rsid w:val="00074C2E"/>
  </w:style>
  <w:style w:type="paragraph" w:styleId="Textedebulles">
    <w:name w:val="Balloon Text"/>
    <w:basedOn w:val="Normal"/>
    <w:link w:val="TextedebullesCar"/>
    <w:uiPriority w:val="99"/>
    <w:semiHidden/>
    <w:unhideWhenUsed/>
    <w:rsid w:val="00CA1B79"/>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CA1B79"/>
    <w:rPr>
      <w:rFonts w:ascii="Tahoma" w:hAnsi="Tahoma" w:cs="Tahoma"/>
      <w:sz w:val="16"/>
      <w:szCs w:val="16"/>
    </w:rPr>
  </w:style>
  <w:style w:type="paragraph" w:customStyle="1" w:styleId="Default">
    <w:name w:val="Default"/>
    <w:rsid w:val="00507DE9"/>
    <w:pPr>
      <w:widowControl w:val="0"/>
      <w:autoSpaceDE w:val="0"/>
      <w:autoSpaceDN w:val="0"/>
      <w:adjustRightInd w:val="0"/>
    </w:pPr>
    <w:rPr>
      <w:rFonts w:ascii="TT E 1 B 4 A 640t 00" w:eastAsia="MS Mincho" w:hAnsi="TT E 1 B 4 A 640t 00" w:cs="TT E 1 B 4 A 640t 0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486</Words>
  <Characters>2677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David</dc:creator>
  <cp:lastModifiedBy>Laurent MARCOUX</cp:lastModifiedBy>
  <cp:revision>2</cp:revision>
  <dcterms:created xsi:type="dcterms:W3CDTF">2024-12-15T12:45:00Z</dcterms:created>
  <dcterms:modified xsi:type="dcterms:W3CDTF">2024-12-15T12:45:00Z</dcterms:modified>
</cp:coreProperties>
</file>